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817"/>
        <w:gridCol w:w="2836"/>
        <w:gridCol w:w="2127"/>
        <w:gridCol w:w="2551"/>
        <w:gridCol w:w="2252"/>
        <w:gridCol w:w="1817"/>
        <w:gridCol w:w="1820"/>
      </w:tblGrid>
      <w:tr w:rsidR="004344E7" w:rsidTr="004344E7">
        <w:tc>
          <w:tcPr>
            <w:tcW w:w="1284" w:type="pct"/>
            <w:gridSpan w:val="2"/>
          </w:tcPr>
          <w:p w:rsidR="004344E7" w:rsidRPr="005573D9" w:rsidRDefault="004344E7">
            <w:pPr>
              <w:rPr>
                <w:sz w:val="20"/>
                <w:szCs w:val="20"/>
              </w:rPr>
            </w:pPr>
            <w:r w:rsidRPr="005573D9">
              <w:rPr>
                <w:sz w:val="20"/>
                <w:szCs w:val="20"/>
              </w:rPr>
              <w:t>Dato:</w:t>
            </w:r>
            <w:r w:rsidR="00C354EC">
              <w:rPr>
                <w:sz w:val="20"/>
                <w:szCs w:val="20"/>
              </w:rPr>
              <w:t xml:space="preserve"> 18</w:t>
            </w:r>
            <w:r w:rsidR="005573D9" w:rsidRPr="005573D9">
              <w:rPr>
                <w:sz w:val="20"/>
                <w:szCs w:val="20"/>
              </w:rPr>
              <w:t>.1</w:t>
            </w:r>
            <w:r w:rsidR="00C354EC">
              <w:rPr>
                <w:sz w:val="20"/>
                <w:szCs w:val="20"/>
              </w:rPr>
              <w:t>2</w:t>
            </w:r>
            <w:r w:rsidR="005573D9" w:rsidRPr="005573D9">
              <w:rPr>
                <w:sz w:val="20"/>
                <w:szCs w:val="20"/>
              </w:rPr>
              <w:t>.13</w:t>
            </w:r>
          </w:p>
          <w:p w:rsidR="004344E7" w:rsidRPr="005573D9" w:rsidRDefault="004344E7">
            <w:pPr>
              <w:rPr>
                <w:sz w:val="20"/>
                <w:szCs w:val="20"/>
              </w:rPr>
            </w:pPr>
            <w:r w:rsidRPr="005573D9">
              <w:rPr>
                <w:sz w:val="20"/>
                <w:szCs w:val="20"/>
              </w:rPr>
              <w:t>Vurdering foretatt av:</w:t>
            </w:r>
            <w:r w:rsidR="005573D9" w:rsidRPr="005573D9">
              <w:rPr>
                <w:sz w:val="20"/>
                <w:szCs w:val="20"/>
              </w:rPr>
              <w:t xml:space="preserve"> Kari-Anne Røste</w:t>
            </w:r>
          </w:p>
          <w:p w:rsidR="004344E7" w:rsidRPr="005573D9" w:rsidRDefault="004344E7">
            <w:pPr>
              <w:rPr>
                <w:sz w:val="20"/>
                <w:szCs w:val="20"/>
              </w:rPr>
            </w:pPr>
            <w:r w:rsidRPr="005573D9">
              <w:rPr>
                <w:sz w:val="20"/>
                <w:szCs w:val="20"/>
              </w:rPr>
              <w:t>Enhet:</w:t>
            </w:r>
            <w:r w:rsidR="005573D9" w:rsidRPr="005573D9">
              <w:rPr>
                <w:sz w:val="20"/>
                <w:szCs w:val="20"/>
              </w:rPr>
              <w:t xml:space="preserve"> Fjernarkiv</w:t>
            </w:r>
          </w:p>
        </w:tc>
        <w:tc>
          <w:tcPr>
            <w:tcW w:w="3716" w:type="pct"/>
            <w:gridSpan w:val="5"/>
          </w:tcPr>
          <w:p w:rsidR="004344E7" w:rsidRPr="00E67AF3" w:rsidRDefault="004344E7" w:rsidP="004344E7">
            <w:pPr>
              <w:jc w:val="center"/>
              <w:rPr>
                <w:b/>
                <w:sz w:val="28"/>
                <w:szCs w:val="28"/>
              </w:rPr>
            </w:pPr>
          </w:p>
          <w:p w:rsidR="004344E7" w:rsidRDefault="004344E7" w:rsidP="004344E7">
            <w:pPr>
              <w:jc w:val="center"/>
            </w:pPr>
            <w:r w:rsidRPr="00E67AF3">
              <w:rPr>
                <w:b/>
                <w:sz w:val="28"/>
                <w:szCs w:val="28"/>
              </w:rPr>
              <w:t>RISIKODIAGRAM</w:t>
            </w:r>
          </w:p>
        </w:tc>
      </w:tr>
      <w:tr w:rsidR="00E67AF3" w:rsidTr="004344E7">
        <w:tc>
          <w:tcPr>
            <w:tcW w:w="1284" w:type="pct"/>
            <w:gridSpan w:val="2"/>
            <w:vMerge w:val="restart"/>
            <w:shd w:val="clear" w:color="auto" w:fill="FFFF99"/>
          </w:tcPr>
          <w:p w:rsidR="00E67AF3" w:rsidRDefault="00E67AF3"/>
        </w:tc>
        <w:tc>
          <w:tcPr>
            <w:tcW w:w="3716" w:type="pct"/>
            <w:gridSpan w:val="5"/>
            <w:shd w:val="clear" w:color="auto" w:fill="FFFF99"/>
          </w:tcPr>
          <w:p w:rsidR="00E67AF3" w:rsidRPr="00E67AF3" w:rsidRDefault="00E67AF3" w:rsidP="00E67AF3">
            <w:pPr>
              <w:jc w:val="center"/>
              <w:rPr>
                <w:b/>
              </w:rPr>
            </w:pPr>
            <w:r w:rsidRPr="00E67AF3">
              <w:rPr>
                <w:b/>
              </w:rPr>
              <w:t>Konsekvens</w:t>
            </w:r>
          </w:p>
        </w:tc>
      </w:tr>
      <w:tr w:rsidR="004344E7" w:rsidTr="004344E7">
        <w:tc>
          <w:tcPr>
            <w:tcW w:w="1284" w:type="pct"/>
            <w:gridSpan w:val="2"/>
            <w:vMerge/>
            <w:shd w:val="clear" w:color="auto" w:fill="FFFF99"/>
          </w:tcPr>
          <w:p w:rsidR="00E67AF3" w:rsidRDefault="00E67AF3"/>
        </w:tc>
        <w:tc>
          <w:tcPr>
            <w:tcW w:w="748" w:type="pct"/>
            <w:shd w:val="clear" w:color="auto" w:fill="FFFF99"/>
          </w:tcPr>
          <w:p w:rsidR="00E67AF3" w:rsidRDefault="00E67AF3">
            <w:r>
              <w:t>Ufarlig (1)</w:t>
            </w:r>
          </w:p>
        </w:tc>
        <w:tc>
          <w:tcPr>
            <w:tcW w:w="897" w:type="pct"/>
            <w:shd w:val="clear" w:color="auto" w:fill="FFFF99"/>
          </w:tcPr>
          <w:p w:rsidR="00E67AF3" w:rsidRDefault="00E67AF3">
            <w:r>
              <w:t>En viss fare (2)</w:t>
            </w:r>
          </w:p>
        </w:tc>
        <w:tc>
          <w:tcPr>
            <w:tcW w:w="792" w:type="pct"/>
            <w:shd w:val="clear" w:color="auto" w:fill="FFFF99"/>
          </w:tcPr>
          <w:p w:rsidR="00E67AF3" w:rsidRDefault="00E67AF3">
            <w:r>
              <w:t>Farlig (3)</w:t>
            </w:r>
          </w:p>
        </w:tc>
        <w:tc>
          <w:tcPr>
            <w:tcW w:w="639" w:type="pct"/>
            <w:shd w:val="clear" w:color="auto" w:fill="FFFF99"/>
          </w:tcPr>
          <w:p w:rsidR="00E67AF3" w:rsidRDefault="00E67AF3">
            <w:r>
              <w:t>Kritisk (4)</w:t>
            </w:r>
          </w:p>
        </w:tc>
        <w:tc>
          <w:tcPr>
            <w:tcW w:w="640" w:type="pct"/>
            <w:shd w:val="clear" w:color="auto" w:fill="FFFF99"/>
          </w:tcPr>
          <w:p w:rsidR="00E67AF3" w:rsidRDefault="00E67AF3">
            <w:r>
              <w:t>Katastrofal (5)</w:t>
            </w:r>
          </w:p>
        </w:tc>
      </w:tr>
      <w:tr w:rsidR="00E67AF3" w:rsidTr="004344E7">
        <w:tc>
          <w:tcPr>
            <w:tcW w:w="287" w:type="pct"/>
            <w:vMerge w:val="restart"/>
            <w:shd w:val="clear" w:color="auto" w:fill="FFFF99"/>
            <w:textDirection w:val="btLr"/>
          </w:tcPr>
          <w:p w:rsidR="00E67AF3" w:rsidRPr="00E67AF3" w:rsidRDefault="00E67AF3" w:rsidP="00E67AF3">
            <w:pPr>
              <w:ind w:left="113" w:right="113"/>
              <w:rPr>
                <w:b/>
              </w:rPr>
            </w:pPr>
            <w:r w:rsidRPr="00E67AF3">
              <w:rPr>
                <w:b/>
              </w:rPr>
              <w:t>Sannsynlig</w:t>
            </w:r>
            <w:r w:rsidR="00C53828">
              <w:rPr>
                <w:b/>
              </w:rPr>
              <w:t>-</w:t>
            </w:r>
            <w:r w:rsidRPr="00E67AF3">
              <w:rPr>
                <w:b/>
              </w:rPr>
              <w:t>het</w:t>
            </w:r>
          </w:p>
        </w:tc>
        <w:tc>
          <w:tcPr>
            <w:tcW w:w="997" w:type="pct"/>
            <w:shd w:val="clear" w:color="auto" w:fill="FFFF99"/>
          </w:tcPr>
          <w:p w:rsidR="00E67AF3" w:rsidRDefault="00E67AF3">
            <w:r>
              <w:t>Svært sannsynlig (5)</w:t>
            </w:r>
          </w:p>
        </w:tc>
        <w:tc>
          <w:tcPr>
            <w:tcW w:w="748" w:type="pct"/>
            <w:shd w:val="clear" w:color="auto" w:fill="00B050"/>
          </w:tcPr>
          <w:p w:rsidR="00E67AF3" w:rsidRDefault="00E67AF3"/>
        </w:tc>
        <w:tc>
          <w:tcPr>
            <w:tcW w:w="897" w:type="pct"/>
            <w:shd w:val="clear" w:color="auto" w:fill="FFC000"/>
          </w:tcPr>
          <w:p w:rsidR="00E67AF3" w:rsidRDefault="008C0983">
            <w:r>
              <w:t>Vannlekkasje</w:t>
            </w:r>
            <w:r w:rsidR="00C53828">
              <w:t xml:space="preserve"> (øk)</w:t>
            </w:r>
          </w:p>
        </w:tc>
        <w:tc>
          <w:tcPr>
            <w:tcW w:w="792" w:type="pct"/>
            <w:shd w:val="clear" w:color="auto" w:fill="FFC000"/>
          </w:tcPr>
          <w:p w:rsidR="00E67AF3" w:rsidRDefault="00E67AF3"/>
        </w:tc>
        <w:tc>
          <w:tcPr>
            <w:tcW w:w="639" w:type="pct"/>
            <w:shd w:val="clear" w:color="auto" w:fill="FF0000"/>
          </w:tcPr>
          <w:p w:rsidR="00E67AF3" w:rsidRPr="004344E7" w:rsidRDefault="00E67AF3"/>
        </w:tc>
        <w:tc>
          <w:tcPr>
            <w:tcW w:w="640" w:type="pct"/>
            <w:shd w:val="clear" w:color="auto" w:fill="FF0000"/>
          </w:tcPr>
          <w:p w:rsidR="00E67AF3" w:rsidRPr="004344E7" w:rsidRDefault="00E67AF3"/>
        </w:tc>
      </w:tr>
      <w:tr w:rsidR="00E67AF3" w:rsidTr="004344E7">
        <w:tc>
          <w:tcPr>
            <w:tcW w:w="287" w:type="pct"/>
            <w:vMerge/>
            <w:shd w:val="clear" w:color="auto" w:fill="FFFF99"/>
          </w:tcPr>
          <w:p w:rsidR="00E67AF3" w:rsidRDefault="00E67AF3"/>
        </w:tc>
        <w:tc>
          <w:tcPr>
            <w:tcW w:w="997" w:type="pct"/>
            <w:shd w:val="clear" w:color="auto" w:fill="FFFF99"/>
          </w:tcPr>
          <w:p w:rsidR="00E67AF3" w:rsidRDefault="00E67AF3">
            <w:r>
              <w:t>Meget sannsynlig (4)</w:t>
            </w:r>
          </w:p>
        </w:tc>
        <w:tc>
          <w:tcPr>
            <w:tcW w:w="748" w:type="pct"/>
            <w:shd w:val="clear" w:color="auto" w:fill="00B050"/>
          </w:tcPr>
          <w:p w:rsidR="00E67AF3" w:rsidRDefault="00E67AF3"/>
        </w:tc>
        <w:tc>
          <w:tcPr>
            <w:tcW w:w="897" w:type="pct"/>
            <w:shd w:val="clear" w:color="auto" w:fill="00B050"/>
          </w:tcPr>
          <w:p w:rsidR="00E67AF3" w:rsidRDefault="00E67AF3"/>
        </w:tc>
        <w:tc>
          <w:tcPr>
            <w:tcW w:w="792" w:type="pct"/>
            <w:shd w:val="clear" w:color="auto" w:fill="FFC000"/>
          </w:tcPr>
          <w:p w:rsidR="00E67AF3" w:rsidRDefault="00E67AF3"/>
        </w:tc>
        <w:tc>
          <w:tcPr>
            <w:tcW w:w="639" w:type="pct"/>
            <w:shd w:val="clear" w:color="auto" w:fill="FFC000"/>
          </w:tcPr>
          <w:p w:rsidR="00E67AF3" w:rsidRPr="004344E7" w:rsidRDefault="00E67AF3">
            <w:pPr>
              <w:rPr>
                <w:b/>
              </w:rPr>
            </w:pPr>
          </w:p>
        </w:tc>
        <w:tc>
          <w:tcPr>
            <w:tcW w:w="640" w:type="pct"/>
            <w:shd w:val="clear" w:color="auto" w:fill="FF0000"/>
          </w:tcPr>
          <w:p w:rsidR="00E67AF3" w:rsidRPr="004344E7" w:rsidRDefault="00E67AF3">
            <w:pPr>
              <w:rPr>
                <w:b/>
              </w:rPr>
            </w:pPr>
          </w:p>
        </w:tc>
      </w:tr>
      <w:tr w:rsidR="00E67AF3" w:rsidTr="004344E7">
        <w:tc>
          <w:tcPr>
            <w:tcW w:w="287" w:type="pct"/>
            <w:vMerge/>
            <w:shd w:val="clear" w:color="auto" w:fill="FFFF99"/>
          </w:tcPr>
          <w:p w:rsidR="00E67AF3" w:rsidRDefault="00E67AF3"/>
        </w:tc>
        <w:tc>
          <w:tcPr>
            <w:tcW w:w="997" w:type="pct"/>
            <w:shd w:val="clear" w:color="auto" w:fill="FFFF99"/>
          </w:tcPr>
          <w:p w:rsidR="00E67AF3" w:rsidRDefault="00E67AF3">
            <w:r>
              <w:t>Sannsynlig (3)</w:t>
            </w:r>
          </w:p>
        </w:tc>
        <w:tc>
          <w:tcPr>
            <w:tcW w:w="748" w:type="pct"/>
            <w:shd w:val="clear" w:color="auto" w:fill="00B050"/>
          </w:tcPr>
          <w:p w:rsidR="00E67AF3" w:rsidRDefault="00E67AF3"/>
        </w:tc>
        <w:tc>
          <w:tcPr>
            <w:tcW w:w="897" w:type="pct"/>
            <w:shd w:val="clear" w:color="auto" w:fill="00B050"/>
          </w:tcPr>
          <w:p w:rsidR="00E67AF3" w:rsidRDefault="00E67AF3"/>
        </w:tc>
        <w:tc>
          <w:tcPr>
            <w:tcW w:w="792" w:type="pct"/>
            <w:shd w:val="clear" w:color="auto" w:fill="00B050"/>
          </w:tcPr>
          <w:p w:rsidR="00E67AF3" w:rsidRDefault="008C0983">
            <w:r>
              <w:t>Brann</w:t>
            </w:r>
            <w:r w:rsidR="00C53828">
              <w:t xml:space="preserve"> (</w:t>
            </w:r>
            <w:proofErr w:type="spellStart"/>
            <w:r w:rsidR="00C53828">
              <w:t>me</w:t>
            </w:r>
            <w:proofErr w:type="spellEnd"/>
            <w:r w:rsidR="00C53828">
              <w:t>, dr, øk)</w:t>
            </w:r>
          </w:p>
          <w:p w:rsidR="008C0983" w:rsidRDefault="008C0983">
            <w:r>
              <w:t>Tyveri /utro tjener</w:t>
            </w:r>
            <w:r w:rsidR="00C53828">
              <w:t xml:space="preserve"> (</w:t>
            </w:r>
            <w:proofErr w:type="spellStart"/>
            <w:r w:rsidR="00C53828">
              <w:t>tr</w:t>
            </w:r>
            <w:proofErr w:type="spellEnd"/>
            <w:r w:rsidR="00C53828">
              <w:t>)</w:t>
            </w:r>
          </w:p>
        </w:tc>
        <w:tc>
          <w:tcPr>
            <w:tcW w:w="639" w:type="pct"/>
            <w:shd w:val="clear" w:color="auto" w:fill="FFC000"/>
          </w:tcPr>
          <w:p w:rsidR="00E67AF3" w:rsidRDefault="00E67AF3"/>
        </w:tc>
        <w:tc>
          <w:tcPr>
            <w:tcW w:w="640" w:type="pct"/>
            <w:shd w:val="clear" w:color="auto" w:fill="FFC000"/>
          </w:tcPr>
          <w:p w:rsidR="00E67AF3" w:rsidRDefault="00E67AF3"/>
        </w:tc>
      </w:tr>
      <w:tr w:rsidR="00E67AF3" w:rsidTr="004344E7">
        <w:tc>
          <w:tcPr>
            <w:tcW w:w="287" w:type="pct"/>
            <w:vMerge/>
            <w:shd w:val="clear" w:color="auto" w:fill="FFFF99"/>
          </w:tcPr>
          <w:p w:rsidR="00E67AF3" w:rsidRDefault="00E67AF3"/>
        </w:tc>
        <w:tc>
          <w:tcPr>
            <w:tcW w:w="997" w:type="pct"/>
            <w:shd w:val="clear" w:color="auto" w:fill="FFFF99"/>
          </w:tcPr>
          <w:p w:rsidR="00E67AF3" w:rsidRDefault="00E67AF3">
            <w:r>
              <w:t>Mindre sannsynlig (2)</w:t>
            </w:r>
          </w:p>
        </w:tc>
        <w:tc>
          <w:tcPr>
            <w:tcW w:w="748" w:type="pct"/>
            <w:shd w:val="clear" w:color="auto" w:fill="00B050"/>
          </w:tcPr>
          <w:p w:rsidR="00E67AF3" w:rsidRDefault="00E67AF3"/>
        </w:tc>
        <w:tc>
          <w:tcPr>
            <w:tcW w:w="897" w:type="pct"/>
            <w:shd w:val="clear" w:color="auto" w:fill="00B050"/>
          </w:tcPr>
          <w:p w:rsidR="00E67AF3" w:rsidRDefault="00E67AF3"/>
        </w:tc>
        <w:tc>
          <w:tcPr>
            <w:tcW w:w="792" w:type="pct"/>
            <w:shd w:val="clear" w:color="auto" w:fill="00B050"/>
          </w:tcPr>
          <w:p w:rsidR="00E67AF3" w:rsidRDefault="00E67AF3"/>
        </w:tc>
        <w:tc>
          <w:tcPr>
            <w:tcW w:w="639" w:type="pct"/>
            <w:shd w:val="clear" w:color="auto" w:fill="00B050"/>
          </w:tcPr>
          <w:p w:rsidR="00E67AF3" w:rsidRDefault="00E67AF3"/>
        </w:tc>
        <w:tc>
          <w:tcPr>
            <w:tcW w:w="640" w:type="pct"/>
            <w:shd w:val="clear" w:color="auto" w:fill="FFC000"/>
          </w:tcPr>
          <w:p w:rsidR="00E67AF3" w:rsidRDefault="00E67AF3"/>
        </w:tc>
      </w:tr>
      <w:tr w:rsidR="00E67AF3" w:rsidTr="004344E7">
        <w:tc>
          <w:tcPr>
            <w:tcW w:w="287" w:type="pct"/>
            <w:vMerge/>
            <w:shd w:val="clear" w:color="auto" w:fill="FFFF99"/>
          </w:tcPr>
          <w:p w:rsidR="00E67AF3" w:rsidRDefault="00E67AF3"/>
        </w:tc>
        <w:tc>
          <w:tcPr>
            <w:tcW w:w="997" w:type="pct"/>
            <w:shd w:val="clear" w:color="auto" w:fill="FFFF99"/>
          </w:tcPr>
          <w:p w:rsidR="00E67AF3" w:rsidRDefault="00E67AF3">
            <w:r>
              <w:t>Lite sannsynlig (1)</w:t>
            </w:r>
          </w:p>
        </w:tc>
        <w:tc>
          <w:tcPr>
            <w:tcW w:w="748" w:type="pct"/>
            <w:shd w:val="clear" w:color="auto" w:fill="00B050"/>
          </w:tcPr>
          <w:p w:rsidR="00E67AF3" w:rsidRDefault="008C0983">
            <w:r>
              <w:t>Skadedyr</w:t>
            </w:r>
            <w:r w:rsidR="00C53828">
              <w:t xml:space="preserve"> (øk)</w:t>
            </w:r>
          </w:p>
        </w:tc>
        <w:tc>
          <w:tcPr>
            <w:tcW w:w="897" w:type="pct"/>
            <w:shd w:val="clear" w:color="auto" w:fill="00B050"/>
          </w:tcPr>
          <w:p w:rsidR="00E67AF3" w:rsidRDefault="00E67AF3"/>
        </w:tc>
        <w:tc>
          <w:tcPr>
            <w:tcW w:w="792" w:type="pct"/>
            <w:shd w:val="clear" w:color="auto" w:fill="00B050"/>
          </w:tcPr>
          <w:p w:rsidR="00E67AF3" w:rsidRDefault="00E67AF3"/>
        </w:tc>
        <w:tc>
          <w:tcPr>
            <w:tcW w:w="639" w:type="pct"/>
            <w:shd w:val="clear" w:color="auto" w:fill="00B050"/>
          </w:tcPr>
          <w:p w:rsidR="00E67AF3" w:rsidRDefault="00E67AF3"/>
        </w:tc>
        <w:tc>
          <w:tcPr>
            <w:tcW w:w="640" w:type="pct"/>
            <w:shd w:val="clear" w:color="auto" w:fill="00B050"/>
          </w:tcPr>
          <w:p w:rsidR="00E67AF3" w:rsidRDefault="00E67AF3"/>
        </w:tc>
      </w:tr>
    </w:tbl>
    <w:p w:rsidR="009F56A7" w:rsidRPr="009F56A7" w:rsidRDefault="009F56A7" w:rsidP="009F56A7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9F56A7">
        <w:rPr>
          <w:rFonts w:cs="Arial"/>
          <w:color w:val="000000"/>
          <w:sz w:val="20"/>
          <w:szCs w:val="20"/>
        </w:rPr>
        <w:t xml:space="preserve">Risikodiagrammet viser en sammenstilling av alle de analyserte uønskede hendelsene og gir en oversikt over risikoen i </w:t>
      </w:r>
      <w:r>
        <w:rPr>
          <w:rFonts w:cs="Arial"/>
          <w:color w:val="000000"/>
          <w:sz w:val="20"/>
          <w:szCs w:val="20"/>
        </w:rPr>
        <w:t>fjernarkivet.</w:t>
      </w:r>
      <w:r w:rsidRPr="009F56A7">
        <w:rPr>
          <w:rFonts w:cs="Arial"/>
          <w:color w:val="000000"/>
          <w:sz w:val="20"/>
          <w:szCs w:val="20"/>
        </w:rPr>
        <w:t xml:space="preserve"> Dette bildet</w:t>
      </w:r>
    </w:p>
    <w:p w:rsidR="009F56A7" w:rsidRPr="009F56A7" w:rsidRDefault="009F56A7" w:rsidP="008C0983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9F56A7">
        <w:rPr>
          <w:rFonts w:cs="Arial"/>
          <w:color w:val="000000"/>
          <w:sz w:val="20"/>
          <w:szCs w:val="20"/>
        </w:rPr>
        <w:t xml:space="preserve">alene vil kun gi et overordnet bilde av risikoforholdene, spesielt med tanke på å lese ut konsekvensene av en uønsket hendelse. </w:t>
      </w:r>
    </w:p>
    <w:p w:rsidR="009F56A7" w:rsidRPr="009F56A7" w:rsidRDefault="009F56A7" w:rsidP="009F56A7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9F56A7">
        <w:rPr>
          <w:rFonts w:cs="Arial"/>
          <w:color w:val="000000"/>
          <w:sz w:val="20"/>
          <w:szCs w:val="20"/>
        </w:rPr>
        <w:t>Fargekodene i diagrammet leses slik:</w:t>
      </w:r>
    </w:p>
    <w:p w:rsidR="009F56A7" w:rsidRPr="009F56A7" w:rsidRDefault="009F56A7" w:rsidP="009F56A7">
      <w:pPr>
        <w:autoSpaceDE w:val="0"/>
        <w:autoSpaceDN w:val="0"/>
        <w:adjustRightInd w:val="0"/>
        <w:rPr>
          <w:rFonts w:cs="Arial"/>
          <w:b/>
          <w:bCs/>
          <w:color w:val="339A66"/>
          <w:sz w:val="20"/>
          <w:szCs w:val="20"/>
        </w:rPr>
      </w:pPr>
      <w:r w:rsidRPr="009F56A7">
        <w:rPr>
          <w:rFonts w:cs="Arial"/>
          <w:b/>
          <w:bCs/>
          <w:color w:val="339A66"/>
          <w:sz w:val="20"/>
          <w:szCs w:val="20"/>
        </w:rPr>
        <w:t>GRØNN:</w:t>
      </w:r>
    </w:p>
    <w:p w:rsidR="009F56A7" w:rsidRPr="009F56A7" w:rsidRDefault="009F56A7" w:rsidP="009F56A7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9F56A7">
        <w:rPr>
          <w:rFonts w:cs="Arial"/>
          <w:color w:val="000000"/>
          <w:sz w:val="20"/>
          <w:szCs w:val="20"/>
        </w:rPr>
        <w:t>Område med en viss risiko, men normalt akseptert. Normalt ingen tiltak.</w:t>
      </w:r>
      <w:r w:rsidR="008C0983">
        <w:rPr>
          <w:rFonts w:cs="Arial"/>
          <w:color w:val="000000"/>
          <w:sz w:val="20"/>
          <w:szCs w:val="20"/>
        </w:rPr>
        <w:t xml:space="preserve"> </w:t>
      </w:r>
      <w:r w:rsidRPr="009F56A7">
        <w:rPr>
          <w:rFonts w:cs="Arial"/>
          <w:color w:val="000000"/>
          <w:sz w:val="20"/>
          <w:szCs w:val="20"/>
        </w:rPr>
        <w:t>Uønskede hendelser som anses å komme i denne kategorien er ikke omtalt nærmere eller vurdert videre i forbindelse med tiltak og tiltaksplaner, utover selve analysen.</w:t>
      </w:r>
    </w:p>
    <w:p w:rsidR="009F56A7" w:rsidRPr="009F56A7" w:rsidRDefault="009F56A7" w:rsidP="009F56A7">
      <w:pPr>
        <w:autoSpaceDE w:val="0"/>
        <w:autoSpaceDN w:val="0"/>
        <w:adjustRightInd w:val="0"/>
        <w:rPr>
          <w:rFonts w:cs="Arial"/>
          <w:b/>
          <w:bCs/>
          <w:color w:val="FF9A00"/>
          <w:sz w:val="20"/>
          <w:szCs w:val="20"/>
        </w:rPr>
      </w:pPr>
      <w:r w:rsidRPr="009F56A7">
        <w:rPr>
          <w:rFonts w:cs="Arial"/>
          <w:b/>
          <w:bCs/>
          <w:color w:val="FF9A00"/>
          <w:sz w:val="20"/>
          <w:szCs w:val="20"/>
        </w:rPr>
        <w:t>GUL:</w:t>
      </w:r>
    </w:p>
    <w:p w:rsidR="009F56A7" w:rsidRPr="009F56A7" w:rsidRDefault="009F56A7" w:rsidP="009F56A7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9F56A7">
        <w:rPr>
          <w:rFonts w:cs="Arial"/>
          <w:color w:val="000000"/>
          <w:sz w:val="20"/>
          <w:szCs w:val="20"/>
        </w:rPr>
        <w:t>Område med høyere risiko som er mindre akseptert. Tiltak bør iverksettes (kost/nyttevurdering).</w:t>
      </w:r>
    </w:p>
    <w:p w:rsidR="009F56A7" w:rsidRPr="009F56A7" w:rsidRDefault="009F56A7" w:rsidP="009F56A7">
      <w:pPr>
        <w:autoSpaceDE w:val="0"/>
        <w:autoSpaceDN w:val="0"/>
        <w:adjustRightInd w:val="0"/>
        <w:rPr>
          <w:rFonts w:cs="Arial"/>
          <w:b/>
          <w:bCs/>
          <w:color w:val="FF0000"/>
          <w:sz w:val="20"/>
          <w:szCs w:val="20"/>
        </w:rPr>
      </w:pPr>
      <w:r w:rsidRPr="009F56A7">
        <w:rPr>
          <w:rFonts w:cs="Arial"/>
          <w:b/>
          <w:bCs/>
          <w:color w:val="FF0000"/>
          <w:sz w:val="20"/>
          <w:szCs w:val="20"/>
        </w:rPr>
        <w:t>RØD:</w:t>
      </w:r>
    </w:p>
    <w:p w:rsidR="009F56A7" w:rsidRPr="009F56A7" w:rsidRDefault="009F56A7" w:rsidP="009F56A7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9F56A7">
        <w:rPr>
          <w:rFonts w:cs="Arial"/>
          <w:color w:val="000000"/>
          <w:sz w:val="20"/>
          <w:szCs w:val="20"/>
        </w:rPr>
        <w:t>Område med høy og uakseptabel risiko. Tiltak må iverksettes.</w:t>
      </w:r>
    </w:p>
    <w:p w:rsidR="009F56A7" w:rsidRDefault="009F56A7" w:rsidP="005573D9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5573D9" w:rsidRPr="005573D9" w:rsidRDefault="005573D9" w:rsidP="005573D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5573D9">
        <w:rPr>
          <w:rFonts w:cs="Arial"/>
          <w:sz w:val="20"/>
          <w:szCs w:val="20"/>
        </w:rPr>
        <w:t>Graderingen av sannsynlighet som er lagt til grunn i denne analysen er:</w:t>
      </w:r>
    </w:p>
    <w:p w:rsidR="005573D9" w:rsidRPr="005573D9" w:rsidRDefault="005573D9" w:rsidP="005573D9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5573D9">
        <w:rPr>
          <w:rFonts w:cs="Arial"/>
          <w:sz w:val="20"/>
          <w:szCs w:val="20"/>
        </w:rPr>
        <w:t>Svært sannsynlig Mer enn en hendelse pr. år</w:t>
      </w:r>
    </w:p>
    <w:p w:rsidR="005573D9" w:rsidRPr="005573D9" w:rsidRDefault="005573D9" w:rsidP="005573D9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5573D9">
        <w:rPr>
          <w:rFonts w:cs="Arial"/>
          <w:sz w:val="20"/>
          <w:szCs w:val="20"/>
        </w:rPr>
        <w:t>Meget sannsynlig Mellom en hendelse hvert år og en hendelse hvert 5. år</w:t>
      </w:r>
    </w:p>
    <w:p w:rsidR="005573D9" w:rsidRPr="005573D9" w:rsidRDefault="005573D9" w:rsidP="005573D9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5573D9">
        <w:rPr>
          <w:rFonts w:cs="Arial"/>
          <w:sz w:val="20"/>
          <w:szCs w:val="20"/>
        </w:rPr>
        <w:t>Sannsynlig Mellom en hendelse hvert 5. år og en hendelse hvert 15. år</w:t>
      </w:r>
    </w:p>
    <w:p w:rsidR="005573D9" w:rsidRPr="005573D9" w:rsidRDefault="005573D9" w:rsidP="005573D9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5573D9">
        <w:rPr>
          <w:rFonts w:cs="Arial"/>
          <w:sz w:val="20"/>
          <w:szCs w:val="20"/>
        </w:rPr>
        <w:t>Mindre sannsynlig Mellom en hendelse hvert 15. år og en hendelse hvert 50. år</w:t>
      </w:r>
    </w:p>
    <w:p w:rsidR="005573D9" w:rsidRPr="009F56A7" w:rsidRDefault="005573D9" w:rsidP="005573D9">
      <w:pPr>
        <w:pStyle w:val="Listeavsnitt"/>
        <w:numPr>
          <w:ilvl w:val="0"/>
          <w:numId w:val="1"/>
        </w:numPr>
        <w:rPr>
          <w:rFonts w:cs="Arial"/>
        </w:rPr>
      </w:pPr>
      <w:r w:rsidRPr="005573D9">
        <w:rPr>
          <w:rFonts w:cs="Arial"/>
          <w:sz w:val="20"/>
          <w:szCs w:val="20"/>
        </w:rPr>
        <w:t>Lite sannsynlig Mindre enn en hendelse hvert 50. år</w:t>
      </w:r>
    </w:p>
    <w:p w:rsidR="00C53828" w:rsidRDefault="00C53828" w:rsidP="009F56A7">
      <w:pPr>
        <w:autoSpaceDE w:val="0"/>
        <w:autoSpaceDN w:val="0"/>
        <w:adjustRightInd w:val="0"/>
        <w:rPr>
          <w:rFonts w:cs="Arial"/>
        </w:rPr>
      </w:pPr>
    </w:p>
    <w:p w:rsidR="009F56A7" w:rsidRPr="00E05A89" w:rsidRDefault="00C53828" w:rsidP="00C53828">
      <w:pPr>
        <w:autoSpaceDE w:val="0"/>
        <w:autoSpaceDN w:val="0"/>
        <w:adjustRightInd w:val="0"/>
        <w:rPr>
          <w:rFonts w:cs="Arial"/>
          <w:b/>
          <w:bCs/>
          <w:color w:val="365F92"/>
        </w:rPr>
      </w:pPr>
      <w:r w:rsidRPr="00C53828">
        <w:rPr>
          <w:rFonts w:cs="Arial"/>
          <w:sz w:val="22"/>
          <w:szCs w:val="22"/>
        </w:rPr>
        <w:t xml:space="preserve">Me: Menneskers liv og helse, Dr: Drift, produksjon og tjenesteytelser, </w:t>
      </w:r>
      <w:proofErr w:type="spellStart"/>
      <w:r w:rsidRPr="00C53828">
        <w:rPr>
          <w:rFonts w:cs="Arial"/>
          <w:sz w:val="22"/>
          <w:szCs w:val="22"/>
        </w:rPr>
        <w:t>Tr</w:t>
      </w:r>
      <w:proofErr w:type="spellEnd"/>
      <w:r w:rsidRPr="00C53828">
        <w:rPr>
          <w:rFonts w:cs="Arial"/>
          <w:sz w:val="22"/>
          <w:szCs w:val="22"/>
        </w:rPr>
        <w:t>: Troverdighet renommé / omdømme, Øk: Økonomiske og materielle verdie</w:t>
      </w:r>
      <w:r>
        <w:rPr>
          <w:rFonts w:cs="Arial"/>
          <w:sz w:val="22"/>
          <w:szCs w:val="22"/>
        </w:rPr>
        <w:t>r</w:t>
      </w:r>
      <w:r w:rsidRPr="00C53828">
        <w:rPr>
          <w:rFonts w:cs="Arial"/>
          <w:sz w:val="22"/>
          <w:szCs w:val="22"/>
        </w:rPr>
        <w:t xml:space="preserve"> </w:t>
      </w:r>
      <w:r w:rsidR="009F56A7">
        <w:rPr>
          <w:rFonts w:cs="Arial"/>
        </w:rPr>
        <w:br w:type="column"/>
      </w:r>
      <w:r w:rsidR="009F56A7" w:rsidRPr="00E05A89">
        <w:rPr>
          <w:rFonts w:cs="Arial"/>
          <w:b/>
          <w:bCs/>
          <w:color w:val="365F92"/>
        </w:rPr>
        <w:lastRenderedPageBreak/>
        <w:t>Gradering av konsekvenser</w:t>
      </w:r>
    </w:p>
    <w:p w:rsidR="009F56A7" w:rsidRPr="00E05A89" w:rsidRDefault="009F56A7" w:rsidP="009F56A7">
      <w:pPr>
        <w:autoSpaceDE w:val="0"/>
        <w:autoSpaceDN w:val="0"/>
        <w:adjustRightInd w:val="0"/>
        <w:rPr>
          <w:rFonts w:cs="Arial"/>
          <w:color w:val="000000"/>
        </w:rPr>
      </w:pPr>
      <w:r w:rsidRPr="00E05A89">
        <w:rPr>
          <w:rFonts w:cs="Arial"/>
          <w:color w:val="000000"/>
        </w:rPr>
        <w:t>Konsekvensene for de forskjellige verdiområdene avhengig av faregrad, er i denne analysen definert slik:</w:t>
      </w:r>
    </w:p>
    <w:p w:rsidR="009F56A7" w:rsidRDefault="009F56A7" w:rsidP="009F56A7">
      <w:pPr>
        <w:autoSpaceDE w:val="0"/>
        <w:autoSpaceDN w:val="0"/>
        <w:adjustRightInd w:val="0"/>
        <w:rPr>
          <w:rFonts w:cs="Arial"/>
        </w:rPr>
      </w:pPr>
      <w:r w:rsidRPr="00E05A89">
        <w:rPr>
          <w:rFonts w:cs="Arial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00"/>
        <w:gridCol w:w="2906"/>
        <w:gridCol w:w="2981"/>
        <w:gridCol w:w="2919"/>
        <w:gridCol w:w="2914"/>
      </w:tblGrid>
      <w:tr w:rsidR="00E05A89" w:rsidTr="00E05A89">
        <w:tc>
          <w:tcPr>
            <w:tcW w:w="2500" w:type="dxa"/>
            <w:shd w:val="clear" w:color="auto" w:fill="FBD4B4" w:themeFill="accent6" w:themeFillTint="66"/>
          </w:tcPr>
          <w:p w:rsidR="00E05A89" w:rsidRP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Begrep /verdi</w:t>
            </w:r>
          </w:p>
        </w:tc>
        <w:tc>
          <w:tcPr>
            <w:tcW w:w="2906" w:type="dxa"/>
            <w:shd w:val="clear" w:color="auto" w:fill="FBD4B4" w:themeFill="accent6" w:themeFillTint="66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05A89">
              <w:rPr>
                <w:rFonts w:cs="Arial"/>
              </w:rPr>
              <w:t>Me: Menneskers liv og helse</w:t>
            </w:r>
          </w:p>
        </w:tc>
        <w:tc>
          <w:tcPr>
            <w:tcW w:w="2981" w:type="dxa"/>
            <w:shd w:val="clear" w:color="auto" w:fill="FBD4B4" w:themeFill="accent6" w:themeFillTint="66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05A89">
              <w:rPr>
                <w:rFonts w:cs="Arial"/>
              </w:rPr>
              <w:t>Dr: Drift, produksjon og tjenesteytelser</w:t>
            </w:r>
          </w:p>
        </w:tc>
        <w:tc>
          <w:tcPr>
            <w:tcW w:w="2919" w:type="dxa"/>
            <w:shd w:val="clear" w:color="auto" w:fill="FBD4B4" w:themeFill="accent6" w:themeFillTint="66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0E05A89">
              <w:rPr>
                <w:rFonts w:cs="Arial"/>
              </w:rPr>
              <w:t>Tr</w:t>
            </w:r>
            <w:proofErr w:type="spellEnd"/>
            <w:r w:rsidRPr="00E05A89">
              <w:rPr>
                <w:rFonts w:cs="Arial"/>
              </w:rPr>
              <w:t>: Troverdighet renommé / omdømme</w:t>
            </w:r>
          </w:p>
        </w:tc>
        <w:tc>
          <w:tcPr>
            <w:tcW w:w="2914" w:type="dxa"/>
            <w:shd w:val="clear" w:color="auto" w:fill="FBD4B4" w:themeFill="accent6" w:themeFillTint="66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05A89">
              <w:rPr>
                <w:rFonts w:cs="Arial"/>
              </w:rPr>
              <w:t>Øk: Økonomiske og materielle verdier</w:t>
            </w:r>
          </w:p>
        </w:tc>
      </w:tr>
      <w:tr w:rsidR="00E05A89" w:rsidTr="00E05A89">
        <w:tc>
          <w:tcPr>
            <w:tcW w:w="2500" w:type="dxa"/>
            <w:shd w:val="clear" w:color="auto" w:fill="FBD4B4" w:themeFill="accent6" w:themeFillTint="66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Ufarlig</w:t>
            </w:r>
          </w:p>
        </w:tc>
        <w:tc>
          <w:tcPr>
            <w:tcW w:w="2906" w:type="dxa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Ingen personskade eller evakuerte</w:t>
            </w:r>
          </w:p>
        </w:tc>
        <w:tc>
          <w:tcPr>
            <w:tcW w:w="2981" w:type="dxa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Driftsstans i &lt; 8 timer</w:t>
            </w:r>
          </w:p>
        </w:tc>
        <w:tc>
          <w:tcPr>
            <w:tcW w:w="2919" w:type="dxa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Ingen konsekvens for troverdighet og omdømme</w:t>
            </w:r>
          </w:p>
        </w:tc>
        <w:tc>
          <w:tcPr>
            <w:tcW w:w="2914" w:type="dxa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Skader opp til kr 10</w:t>
            </w:r>
            <w:r w:rsidR="00C53828">
              <w:rPr>
                <w:rFonts w:cs="Arial"/>
              </w:rPr>
              <w:t> </w:t>
            </w:r>
            <w:r>
              <w:rPr>
                <w:rFonts w:cs="Arial"/>
              </w:rPr>
              <w:t>000</w:t>
            </w:r>
          </w:p>
          <w:p w:rsidR="00C53828" w:rsidRDefault="00C53828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Arkivmateriale har lite skadeomfang</w:t>
            </w:r>
          </w:p>
        </w:tc>
      </w:tr>
      <w:tr w:rsidR="00E05A89" w:rsidTr="00E05A89">
        <w:tc>
          <w:tcPr>
            <w:tcW w:w="2500" w:type="dxa"/>
            <w:shd w:val="clear" w:color="auto" w:fill="FBD4B4" w:themeFill="accent6" w:themeFillTint="66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En viss fare</w:t>
            </w:r>
          </w:p>
        </w:tc>
        <w:tc>
          <w:tcPr>
            <w:tcW w:w="2906" w:type="dxa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Få og små personskader. Få evakuerte</w:t>
            </w:r>
          </w:p>
        </w:tc>
        <w:tc>
          <w:tcPr>
            <w:tcW w:w="2981" w:type="dxa"/>
          </w:tcPr>
          <w:p w:rsidR="00E05A89" w:rsidRDefault="00E05A89" w:rsidP="00E05A8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Driftsstans i &lt; 1 døgn</w:t>
            </w:r>
          </w:p>
        </w:tc>
        <w:tc>
          <w:tcPr>
            <w:tcW w:w="2919" w:type="dxa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Troverdighet og omdømme svekkes i en kort periode. Gjenvinnes lett</w:t>
            </w:r>
          </w:p>
        </w:tc>
        <w:tc>
          <w:tcPr>
            <w:tcW w:w="2914" w:type="dxa"/>
          </w:tcPr>
          <w:p w:rsidR="00E05A89" w:rsidRDefault="00E05A89" w:rsidP="009F125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Skader opp til kr 100</w:t>
            </w:r>
            <w:r w:rsidR="00C53828">
              <w:rPr>
                <w:rFonts w:cs="Arial"/>
              </w:rPr>
              <w:t> </w:t>
            </w:r>
            <w:r>
              <w:rPr>
                <w:rFonts w:cs="Arial"/>
              </w:rPr>
              <w:t>000</w:t>
            </w:r>
          </w:p>
          <w:p w:rsidR="00C53828" w:rsidRDefault="00C53828" w:rsidP="009F125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Arkivmaterialet kan enkelt settes i stand</w:t>
            </w:r>
          </w:p>
        </w:tc>
      </w:tr>
      <w:tr w:rsidR="00E05A89" w:rsidTr="00E05A89">
        <w:tc>
          <w:tcPr>
            <w:tcW w:w="2500" w:type="dxa"/>
            <w:shd w:val="clear" w:color="auto" w:fill="FBD4B4" w:themeFill="accent6" w:themeFillTint="66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Farlig</w:t>
            </w:r>
          </w:p>
        </w:tc>
        <w:tc>
          <w:tcPr>
            <w:tcW w:w="2906" w:type="dxa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Få, men alvorlige personskader. Opp til 25 evakuerte</w:t>
            </w:r>
          </w:p>
        </w:tc>
        <w:tc>
          <w:tcPr>
            <w:tcW w:w="2981" w:type="dxa"/>
          </w:tcPr>
          <w:p w:rsidR="00E05A89" w:rsidRDefault="00E05A89" w:rsidP="00E05A8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Driftsstans i &lt; 1 uke</w:t>
            </w:r>
          </w:p>
        </w:tc>
        <w:tc>
          <w:tcPr>
            <w:tcW w:w="2919" w:type="dxa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Troverdighet og omdømme svekkes i en periode. Gjenvinnes med noe ekstra innsats</w:t>
            </w:r>
          </w:p>
        </w:tc>
        <w:tc>
          <w:tcPr>
            <w:tcW w:w="2914" w:type="dxa"/>
          </w:tcPr>
          <w:p w:rsidR="00E05A89" w:rsidRDefault="00E05A89" w:rsidP="009F125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Skader opp til kr </w:t>
            </w:r>
          </w:p>
          <w:p w:rsidR="00E05A89" w:rsidRDefault="00E05A89" w:rsidP="009F125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1 000</w:t>
            </w:r>
            <w:r w:rsidR="00C53828">
              <w:rPr>
                <w:rFonts w:cs="Arial"/>
              </w:rPr>
              <w:t> </w:t>
            </w:r>
            <w:r>
              <w:rPr>
                <w:rFonts w:cs="Arial"/>
              </w:rPr>
              <w:t>000</w:t>
            </w:r>
          </w:p>
          <w:p w:rsidR="00C53828" w:rsidRDefault="00C53828" w:rsidP="009F125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En større prosess for å sette arkivmaterialet i stand igjen</w:t>
            </w:r>
          </w:p>
        </w:tc>
      </w:tr>
      <w:tr w:rsidR="00E05A89" w:rsidTr="00E05A89">
        <w:tc>
          <w:tcPr>
            <w:tcW w:w="2500" w:type="dxa"/>
            <w:shd w:val="clear" w:color="auto" w:fill="FBD4B4" w:themeFill="accent6" w:themeFillTint="66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Kritisk</w:t>
            </w:r>
          </w:p>
        </w:tc>
        <w:tc>
          <w:tcPr>
            <w:tcW w:w="2906" w:type="dxa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Opp til 10 alvorlig skadde og 100 evakuerte</w:t>
            </w:r>
          </w:p>
        </w:tc>
        <w:tc>
          <w:tcPr>
            <w:tcW w:w="2981" w:type="dxa"/>
          </w:tcPr>
          <w:p w:rsidR="00E05A89" w:rsidRDefault="00E05A89" w:rsidP="00E05A8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Driftsstans i &lt; 1 måned</w:t>
            </w:r>
          </w:p>
        </w:tc>
        <w:tc>
          <w:tcPr>
            <w:tcW w:w="2919" w:type="dxa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Troverdighet og omdømme mistes i en periode. Gjenvinnes etter noen tids omfattende innsats</w:t>
            </w:r>
          </w:p>
        </w:tc>
        <w:tc>
          <w:tcPr>
            <w:tcW w:w="2914" w:type="dxa"/>
          </w:tcPr>
          <w:p w:rsidR="00E05A89" w:rsidRDefault="00E05A89" w:rsidP="009F125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Skader opp til kr </w:t>
            </w:r>
          </w:p>
          <w:p w:rsidR="00E05A89" w:rsidRDefault="00E05A89" w:rsidP="009F125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10 000</w:t>
            </w:r>
            <w:r w:rsidR="00C53828">
              <w:rPr>
                <w:rFonts w:cs="Arial"/>
              </w:rPr>
              <w:t> </w:t>
            </w:r>
            <w:r>
              <w:rPr>
                <w:rFonts w:cs="Arial"/>
              </w:rPr>
              <w:t>000</w:t>
            </w:r>
          </w:p>
          <w:p w:rsidR="00C53828" w:rsidRDefault="00C53828" w:rsidP="009F125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Arkivmaterialet delvis tapt</w:t>
            </w:r>
          </w:p>
        </w:tc>
      </w:tr>
      <w:tr w:rsidR="00E05A89" w:rsidTr="00E05A89">
        <w:tc>
          <w:tcPr>
            <w:tcW w:w="2500" w:type="dxa"/>
            <w:shd w:val="clear" w:color="auto" w:fill="FBD4B4" w:themeFill="accent6" w:themeFillTint="66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Katastrofalt</w:t>
            </w:r>
          </w:p>
        </w:tc>
        <w:tc>
          <w:tcPr>
            <w:tcW w:w="2906" w:type="dxa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Over 10 alvorlig skadde og 100 evakuerte</w:t>
            </w:r>
          </w:p>
        </w:tc>
        <w:tc>
          <w:tcPr>
            <w:tcW w:w="2981" w:type="dxa"/>
          </w:tcPr>
          <w:p w:rsidR="00E05A89" w:rsidRDefault="00E05A89" w:rsidP="009F125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Driftsstans i &gt; 1 måned</w:t>
            </w:r>
          </w:p>
        </w:tc>
        <w:tc>
          <w:tcPr>
            <w:tcW w:w="2919" w:type="dxa"/>
          </w:tcPr>
          <w:p w:rsidR="00E05A89" w:rsidRDefault="00E05A89" w:rsidP="009F56A7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Troverdighet og omdømme mistes over lengre tid. Kan gjenvinnes etter lengre tids omfattende innsats</w:t>
            </w:r>
          </w:p>
        </w:tc>
        <w:tc>
          <w:tcPr>
            <w:tcW w:w="2914" w:type="dxa"/>
          </w:tcPr>
          <w:p w:rsidR="00E05A89" w:rsidRDefault="00E05A89" w:rsidP="00E05A8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Skader over kr </w:t>
            </w:r>
          </w:p>
          <w:p w:rsidR="00E05A89" w:rsidRDefault="00E05A89" w:rsidP="00E05A8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10 000</w:t>
            </w:r>
            <w:r w:rsidR="00C53828">
              <w:rPr>
                <w:rFonts w:cs="Arial"/>
              </w:rPr>
              <w:t> </w:t>
            </w:r>
            <w:r>
              <w:rPr>
                <w:rFonts w:cs="Arial"/>
              </w:rPr>
              <w:t>000</w:t>
            </w:r>
          </w:p>
          <w:p w:rsidR="00C53828" w:rsidRDefault="00C53828" w:rsidP="00E05A8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Arkivmaterialet tapt</w:t>
            </w:r>
          </w:p>
        </w:tc>
      </w:tr>
    </w:tbl>
    <w:p w:rsidR="003C2E62" w:rsidRDefault="003C2E62" w:rsidP="009F56A7">
      <w:pPr>
        <w:autoSpaceDE w:val="0"/>
        <w:autoSpaceDN w:val="0"/>
        <w:adjustRightInd w:val="0"/>
        <w:rPr>
          <w:rFonts w:cs="Arial"/>
        </w:rPr>
      </w:pPr>
    </w:p>
    <w:p w:rsidR="003C2E62" w:rsidRPr="00E05A89" w:rsidRDefault="003C2E62" w:rsidP="009F56A7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br w:type="column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1076"/>
        <w:gridCol w:w="2124"/>
        <w:gridCol w:w="741"/>
        <w:gridCol w:w="1450"/>
        <w:gridCol w:w="1011"/>
        <w:gridCol w:w="951"/>
        <w:gridCol w:w="1347"/>
        <w:gridCol w:w="697"/>
        <w:gridCol w:w="1519"/>
        <w:gridCol w:w="111"/>
        <w:gridCol w:w="232"/>
        <w:gridCol w:w="1696"/>
        <w:gridCol w:w="23"/>
      </w:tblGrid>
      <w:tr w:rsidR="003C2E62" w:rsidTr="0008617F">
        <w:tc>
          <w:tcPr>
            <w:tcW w:w="5183" w:type="dxa"/>
            <w:gridSpan w:val="4"/>
          </w:tcPr>
          <w:p w:rsidR="003C2E62" w:rsidRDefault="003C2E62" w:rsidP="0008617F">
            <w:r>
              <w:t>Dato: 26.11.2013</w:t>
            </w:r>
          </w:p>
        </w:tc>
        <w:tc>
          <w:tcPr>
            <w:tcW w:w="9037" w:type="dxa"/>
            <w:gridSpan w:val="10"/>
          </w:tcPr>
          <w:p w:rsidR="003C2E62" w:rsidRDefault="003C2E62" w:rsidP="0008617F">
            <w:pPr>
              <w:rPr>
                <w:b/>
              </w:rPr>
            </w:pPr>
            <w:r w:rsidRPr="00BD1634">
              <w:rPr>
                <w:b/>
              </w:rPr>
              <w:t>ANALYSESKJEMA</w:t>
            </w:r>
          </w:p>
          <w:p w:rsidR="003C2E62" w:rsidRPr="00BD1634" w:rsidRDefault="003C2E62" w:rsidP="0008617F">
            <w:pPr>
              <w:rPr>
                <w:b/>
              </w:rPr>
            </w:pPr>
          </w:p>
        </w:tc>
      </w:tr>
      <w:tr w:rsidR="003C2E62" w:rsidTr="0008617F">
        <w:tc>
          <w:tcPr>
            <w:tcW w:w="14220" w:type="dxa"/>
            <w:gridSpan w:val="14"/>
          </w:tcPr>
          <w:p w:rsidR="003C2E62" w:rsidRDefault="003C2E62" w:rsidP="0008617F">
            <w:r>
              <w:t>Anlegg: Fjernarkiv Vestre Toten kommune</w:t>
            </w:r>
          </w:p>
          <w:p w:rsidR="003C2E62" w:rsidRDefault="003C2E62" w:rsidP="0008617F"/>
        </w:tc>
      </w:tr>
      <w:tr w:rsidR="003C2E62" w:rsidTr="0008617F">
        <w:tc>
          <w:tcPr>
            <w:tcW w:w="12269" w:type="dxa"/>
            <w:gridSpan w:val="11"/>
          </w:tcPr>
          <w:p w:rsidR="003C2E62" w:rsidRDefault="003C2E62" w:rsidP="0008617F">
            <w:pPr>
              <w:rPr>
                <w:rFonts w:cs="Arial"/>
              </w:rPr>
            </w:pPr>
            <w:r>
              <w:t xml:space="preserve">Vurdering foretatt av: </w:t>
            </w:r>
            <w:r w:rsidRPr="00BD1634">
              <w:rPr>
                <w:rFonts w:cs="Arial"/>
              </w:rPr>
              <w:t>Bjørn Vegar Kjelsrud (brannsjef) og Kari-Anne Røste (arkivleder)</w:t>
            </w:r>
          </w:p>
          <w:p w:rsidR="003C2E62" w:rsidRDefault="003C2E62" w:rsidP="0008617F"/>
        </w:tc>
        <w:tc>
          <w:tcPr>
            <w:tcW w:w="1951" w:type="dxa"/>
            <w:gridSpan w:val="3"/>
          </w:tcPr>
          <w:p w:rsidR="003C2E62" w:rsidRDefault="003C2E62" w:rsidP="0008617F">
            <w:r>
              <w:t>Side: 1 av 1</w:t>
            </w:r>
          </w:p>
        </w:tc>
      </w:tr>
      <w:tr w:rsidR="003C2E62" w:rsidTr="0008617F">
        <w:tc>
          <w:tcPr>
            <w:tcW w:w="1242" w:type="dxa"/>
            <w:shd w:val="clear" w:color="auto" w:fill="FFC000"/>
          </w:tcPr>
          <w:p w:rsidR="003C2E62" w:rsidRDefault="003C2E62" w:rsidP="0008617F">
            <w:pPr>
              <w:jc w:val="center"/>
            </w:pPr>
            <w:r>
              <w:t>Hendelse nr.</w:t>
            </w:r>
          </w:p>
        </w:tc>
        <w:tc>
          <w:tcPr>
            <w:tcW w:w="3200" w:type="dxa"/>
            <w:gridSpan w:val="2"/>
            <w:shd w:val="clear" w:color="auto" w:fill="FFC000"/>
          </w:tcPr>
          <w:p w:rsidR="003C2E62" w:rsidRDefault="003C2E62" w:rsidP="0008617F">
            <w:r>
              <w:t>Uønsket hendelse</w:t>
            </w:r>
          </w:p>
        </w:tc>
        <w:tc>
          <w:tcPr>
            <w:tcW w:w="2191" w:type="dxa"/>
            <w:gridSpan w:val="2"/>
            <w:shd w:val="clear" w:color="auto" w:fill="FFC000"/>
          </w:tcPr>
          <w:p w:rsidR="003C2E62" w:rsidRDefault="003C2E62" w:rsidP="0008617F">
            <w:r>
              <w:t>Årsaker</w:t>
            </w:r>
          </w:p>
          <w:p w:rsidR="003C2E62" w:rsidRDefault="003C2E62" w:rsidP="0008617F">
            <w:r>
              <w:t>(utløsningskilde)</w:t>
            </w:r>
          </w:p>
        </w:tc>
        <w:tc>
          <w:tcPr>
            <w:tcW w:w="1962" w:type="dxa"/>
            <w:gridSpan w:val="2"/>
            <w:shd w:val="clear" w:color="auto" w:fill="FFC000"/>
          </w:tcPr>
          <w:p w:rsidR="003C2E62" w:rsidRDefault="003C2E62" w:rsidP="0008617F">
            <w:r>
              <w:t>Antatte konsekvenser</w:t>
            </w:r>
          </w:p>
        </w:tc>
        <w:tc>
          <w:tcPr>
            <w:tcW w:w="2044" w:type="dxa"/>
            <w:gridSpan w:val="2"/>
            <w:shd w:val="clear" w:color="auto" w:fill="FFC000"/>
          </w:tcPr>
          <w:p w:rsidR="003C2E62" w:rsidRDefault="003C2E62" w:rsidP="0008617F">
            <w:r>
              <w:t>Konsekvenskode</w:t>
            </w:r>
          </w:p>
        </w:tc>
        <w:tc>
          <w:tcPr>
            <w:tcW w:w="1862" w:type="dxa"/>
            <w:gridSpan w:val="3"/>
            <w:shd w:val="clear" w:color="auto" w:fill="FFC000"/>
          </w:tcPr>
          <w:p w:rsidR="003C2E62" w:rsidRDefault="003C2E62" w:rsidP="0008617F">
            <w:r>
              <w:t>Sannsynlighet</w:t>
            </w:r>
          </w:p>
        </w:tc>
        <w:tc>
          <w:tcPr>
            <w:tcW w:w="1719" w:type="dxa"/>
            <w:gridSpan w:val="2"/>
            <w:shd w:val="clear" w:color="auto" w:fill="FFC000"/>
          </w:tcPr>
          <w:p w:rsidR="003C2E62" w:rsidRDefault="003C2E62" w:rsidP="0008617F">
            <w:r>
              <w:t>Kommentar /tiltak</w:t>
            </w:r>
          </w:p>
        </w:tc>
      </w:tr>
      <w:tr w:rsidR="003C2E62" w:rsidTr="0008617F">
        <w:tc>
          <w:tcPr>
            <w:tcW w:w="1242" w:type="dxa"/>
            <w:shd w:val="clear" w:color="auto" w:fill="FFC000"/>
          </w:tcPr>
          <w:p w:rsidR="003C2E62" w:rsidRDefault="003C2E62" w:rsidP="0008617F">
            <w:pPr>
              <w:jc w:val="center"/>
            </w:pPr>
            <w:r>
              <w:t>1</w:t>
            </w:r>
          </w:p>
        </w:tc>
        <w:tc>
          <w:tcPr>
            <w:tcW w:w="3200" w:type="dxa"/>
            <w:gridSpan w:val="2"/>
          </w:tcPr>
          <w:p w:rsidR="003C2E62" w:rsidRPr="00BD1634" w:rsidRDefault="003C2E62" w:rsidP="0008617F">
            <w:pPr>
              <w:rPr>
                <w:rFonts w:cs="Arial"/>
              </w:rPr>
            </w:pPr>
            <w:r w:rsidRPr="00BD1634">
              <w:rPr>
                <w:rFonts w:cs="Arial"/>
              </w:rPr>
              <w:t>Brann</w:t>
            </w:r>
          </w:p>
        </w:tc>
        <w:tc>
          <w:tcPr>
            <w:tcW w:w="2191" w:type="dxa"/>
            <w:gridSpan w:val="2"/>
          </w:tcPr>
          <w:p w:rsidR="003C2E62" w:rsidRPr="00BD1634" w:rsidRDefault="003C2E62" w:rsidP="0008617F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Lysarmatur</w:t>
            </w:r>
          </w:p>
        </w:tc>
        <w:tc>
          <w:tcPr>
            <w:tcW w:w="1962" w:type="dxa"/>
            <w:gridSpan w:val="2"/>
          </w:tcPr>
          <w:p w:rsidR="003C2E62" w:rsidRPr="00BD1634" w:rsidRDefault="003C2E62" w:rsidP="0008617F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Røykskader på arkivmaterialet</w:t>
            </w:r>
          </w:p>
        </w:tc>
        <w:tc>
          <w:tcPr>
            <w:tcW w:w="2044" w:type="dxa"/>
            <w:gridSpan w:val="2"/>
          </w:tcPr>
          <w:p w:rsidR="003C2E62" w:rsidRDefault="003C2E62" w:rsidP="0008617F">
            <w:r>
              <w:t>3</w:t>
            </w:r>
          </w:p>
        </w:tc>
        <w:tc>
          <w:tcPr>
            <w:tcW w:w="1862" w:type="dxa"/>
            <w:gridSpan w:val="3"/>
          </w:tcPr>
          <w:p w:rsidR="003C2E62" w:rsidRDefault="003C2E62" w:rsidP="0008617F">
            <w:r>
              <w:t>3</w:t>
            </w:r>
          </w:p>
        </w:tc>
        <w:tc>
          <w:tcPr>
            <w:tcW w:w="1719" w:type="dxa"/>
            <w:gridSpan w:val="2"/>
          </w:tcPr>
          <w:p w:rsidR="003C2E62" w:rsidRDefault="003C2E62" w:rsidP="0008617F"/>
        </w:tc>
      </w:tr>
      <w:tr w:rsidR="003C2E62" w:rsidTr="0008617F">
        <w:tc>
          <w:tcPr>
            <w:tcW w:w="1242" w:type="dxa"/>
            <w:shd w:val="clear" w:color="auto" w:fill="FFC000"/>
          </w:tcPr>
          <w:p w:rsidR="003C2E62" w:rsidRDefault="003C2E62" w:rsidP="0008617F">
            <w:pPr>
              <w:jc w:val="center"/>
            </w:pPr>
            <w:r>
              <w:t>2</w:t>
            </w:r>
          </w:p>
        </w:tc>
        <w:tc>
          <w:tcPr>
            <w:tcW w:w="3200" w:type="dxa"/>
            <w:gridSpan w:val="2"/>
          </w:tcPr>
          <w:p w:rsidR="003C2E62" w:rsidRPr="00BD1634" w:rsidRDefault="003C2E62" w:rsidP="0008617F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Vannlekasje fra vaskerom (tilstøtende rom)</w:t>
            </w:r>
          </w:p>
        </w:tc>
        <w:tc>
          <w:tcPr>
            <w:tcW w:w="2191" w:type="dxa"/>
            <w:gridSpan w:val="2"/>
          </w:tcPr>
          <w:p w:rsidR="003C2E62" w:rsidRPr="00BD1634" w:rsidRDefault="003C2E62" w:rsidP="0008617F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Tett sluk</w:t>
            </w:r>
          </w:p>
        </w:tc>
        <w:tc>
          <w:tcPr>
            <w:tcW w:w="1962" w:type="dxa"/>
            <w:gridSpan w:val="2"/>
          </w:tcPr>
          <w:p w:rsidR="003C2E62" w:rsidRPr="00BD1634" w:rsidRDefault="003C2E62" w:rsidP="0008617F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Kan ved stor oversvømmelse komme vann inn på gulvet i fjernarkivet.</w:t>
            </w:r>
          </w:p>
        </w:tc>
        <w:tc>
          <w:tcPr>
            <w:tcW w:w="2044" w:type="dxa"/>
            <w:gridSpan w:val="2"/>
          </w:tcPr>
          <w:p w:rsidR="003C2E62" w:rsidRDefault="003C2E62" w:rsidP="0008617F">
            <w:r>
              <w:t>2</w:t>
            </w:r>
          </w:p>
        </w:tc>
        <w:tc>
          <w:tcPr>
            <w:tcW w:w="1862" w:type="dxa"/>
            <w:gridSpan w:val="3"/>
          </w:tcPr>
          <w:p w:rsidR="003C2E62" w:rsidRDefault="003C2E62" w:rsidP="0008617F">
            <w:r>
              <w:t>5</w:t>
            </w:r>
          </w:p>
        </w:tc>
        <w:tc>
          <w:tcPr>
            <w:tcW w:w="1719" w:type="dxa"/>
            <w:gridSpan w:val="2"/>
          </w:tcPr>
          <w:p w:rsidR="003C2E62" w:rsidRDefault="003C2E62" w:rsidP="0008617F"/>
        </w:tc>
      </w:tr>
      <w:tr w:rsidR="003C2E62" w:rsidTr="0008617F">
        <w:tc>
          <w:tcPr>
            <w:tcW w:w="1242" w:type="dxa"/>
            <w:shd w:val="clear" w:color="auto" w:fill="FFC000"/>
          </w:tcPr>
          <w:p w:rsidR="003C2E62" w:rsidRDefault="003C2E62" w:rsidP="0008617F">
            <w:pPr>
              <w:jc w:val="center"/>
            </w:pPr>
            <w:r>
              <w:t>3</w:t>
            </w:r>
          </w:p>
        </w:tc>
        <w:tc>
          <w:tcPr>
            <w:tcW w:w="3200" w:type="dxa"/>
            <w:gridSpan w:val="2"/>
          </w:tcPr>
          <w:p w:rsidR="003C2E62" w:rsidRPr="00BD1634" w:rsidRDefault="003C2E62" w:rsidP="0008617F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Skadedyr</w:t>
            </w:r>
          </w:p>
        </w:tc>
        <w:tc>
          <w:tcPr>
            <w:tcW w:w="2191" w:type="dxa"/>
            <w:gridSpan w:val="2"/>
          </w:tcPr>
          <w:p w:rsidR="003C2E62" w:rsidRPr="00BD1634" w:rsidRDefault="003C2E62" w:rsidP="0008617F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Kommer inn via ventilasjonsanlegg</w:t>
            </w:r>
          </w:p>
        </w:tc>
        <w:tc>
          <w:tcPr>
            <w:tcW w:w="1962" w:type="dxa"/>
            <w:gridSpan w:val="2"/>
          </w:tcPr>
          <w:p w:rsidR="003C2E62" w:rsidRPr="00BD1634" w:rsidRDefault="003C2E62" w:rsidP="0008617F">
            <w:pPr>
              <w:rPr>
                <w:rFonts w:cs="Arial"/>
              </w:rPr>
            </w:pPr>
          </w:p>
        </w:tc>
        <w:tc>
          <w:tcPr>
            <w:tcW w:w="2044" w:type="dxa"/>
            <w:gridSpan w:val="2"/>
          </w:tcPr>
          <w:p w:rsidR="003C2E62" w:rsidRDefault="003C2E62" w:rsidP="0008617F">
            <w:r>
              <w:t>1</w:t>
            </w:r>
          </w:p>
        </w:tc>
        <w:tc>
          <w:tcPr>
            <w:tcW w:w="1862" w:type="dxa"/>
            <w:gridSpan w:val="3"/>
          </w:tcPr>
          <w:p w:rsidR="003C2E62" w:rsidRDefault="003C2E62" w:rsidP="0008617F">
            <w:r>
              <w:t>1</w:t>
            </w:r>
          </w:p>
        </w:tc>
        <w:tc>
          <w:tcPr>
            <w:tcW w:w="1719" w:type="dxa"/>
            <w:gridSpan w:val="2"/>
          </w:tcPr>
          <w:p w:rsidR="003C2E62" w:rsidRDefault="003C2E62" w:rsidP="0008617F"/>
        </w:tc>
      </w:tr>
      <w:tr w:rsidR="003C2E62" w:rsidTr="0008617F">
        <w:tc>
          <w:tcPr>
            <w:tcW w:w="1242" w:type="dxa"/>
            <w:shd w:val="clear" w:color="auto" w:fill="FFC000"/>
          </w:tcPr>
          <w:p w:rsidR="003C2E62" w:rsidRDefault="003C2E62" w:rsidP="0008617F">
            <w:pPr>
              <w:jc w:val="center"/>
            </w:pPr>
            <w:r>
              <w:t>4</w:t>
            </w:r>
          </w:p>
        </w:tc>
        <w:tc>
          <w:tcPr>
            <w:tcW w:w="3200" w:type="dxa"/>
            <w:gridSpan w:val="2"/>
          </w:tcPr>
          <w:p w:rsidR="003C2E62" w:rsidRPr="00BD1634" w:rsidRDefault="003C2E62" w:rsidP="0008617F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Tyveri - alternativt utro tjenere</w:t>
            </w:r>
          </w:p>
        </w:tc>
        <w:tc>
          <w:tcPr>
            <w:tcW w:w="2191" w:type="dxa"/>
            <w:gridSpan w:val="2"/>
          </w:tcPr>
          <w:p w:rsidR="003C2E62" w:rsidRPr="00BD1634" w:rsidRDefault="003C2E62" w:rsidP="0008617F">
            <w:pPr>
              <w:rPr>
                <w:rFonts w:cs="Arial"/>
                <w:noProof/>
              </w:rPr>
            </w:pPr>
            <w:r w:rsidRPr="00BD1634">
              <w:rPr>
                <w:rFonts w:cs="Arial"/>
                <w:noProof/>
              </w:rPr>
              <w:t>Innbrudd på rådhuset.</w:t>
            </w:r>
          </w:p>
          <w:p w:rsidR="003C2E62" w:rsidRPr="00BD1634" w:rsidRDefault="003C2E62" w:rsidP="0008617F">
            <w:pPr>
              <w:rPr>
                <w:rFonts w:cs="Arial"/>
              </w:rPr>
            </w:pPr>
            <w:r w:rsidRPr="00BD1634">
              <w:rPr>
                <w:rFonts w:cs="Arial"/>
                <w:noProof/>
              </w:rPr>
              <w:t>Ansatte kan misbruke informasjon</w:t>
            </w:r>
          </w:p>
        </w:tc>
        <w:tc>
          <w:tcPr>
            <w:tcW w:w="1962" w:type="dxa"/>
            <w:gridSpan w:val="2"/>
          </w:tcPr>
          <w:p w:rsidR="003C2E62" w:rsidRPr="00BD1634" w:rsidRDefault="003C2E62" w:rsidP="0008617F">
            <w:pPr>
              <w:rPr>
                <w:rFonts w:cs="Arial"/>
              </w:rPr>
            </w:pPr>
          </w:p>
        </w:tc>
        <w:tc>
          <w:tcPr>
            <w:tcW w:w="2044" w:type="dxa"/>
            <w:gridSpan w:val="2"/>
          </w:tcPr>
          <w:p w:rsidR="003C2E62" w:rsidRDefault="003C2E62" w:rsidP="0008617F">
            <w:r>
              <w:t>3</w:t>
            </w:r>
          </w:p>
        </w:tc>
        <w:tc>
          <w:tcPr>
            <w:tcW w:w="1862" w:type="dxa"/>
            <w:gridSpan w:val="3"/>
          </w:tcPr>
          <w:p w:rsidR="003C2E62" w:rsidRDefault="003C2E62" w:rsidP="0008617F">
            <w:r>
              <w:t>3</w:t>
            </w:r>
          </w:p>
        </w:tc>
        <w:tc>
          <w:tcPr>
            <w:tcW w:w="1719" w:type="dxa"/>
            <w:gridSpan w:val="2"/>
          </w:tcPr>
          <w:p w:rsidR="003C2E62" w:rsidRDefault="003C2E62" w:rsidP="0008617F"/>
        </w:tc>
      </w:tr>
      <w:tr w:rsidR="003C2E62" w:rsidTr="0008617F">
        <w:trPr>
          <w:gridAfter w:val="1"/>
          <w:wAfter w:w="23" w:type="dxa"/>
        </w:trPr>
        <w:tc>
          <w:tcPr>
            <w:tcW w:w="2318" w:type="dxa"/>
            <w:gridSpan w:val="2"/>
          </w:tcPr>
          <w:p w:rsidR="003C2E62" w:rsidRDefault="003C2E62" w:rsidP="0008617F">
            <w:r>
              <w:t>Konsekvenskoder</w:t>
            </w:r>
          </w:p>
        </w:tc>
        <w:tc>
          <w:tcPr>
            <w:tcW w:w="2865" w:type="dxa"/>
            <w:gridSpan w:val="2"/>
          </w:tcPr>
          <w:p w:rsidR="003C2E62" w:rsidRDefault="003C2E62" w:rsidP="0008617F">
            <w:r>
              <w:t>Ufarlig (1)</w:t>
            </w:r>
          </w:p>
        </w:tc>
        <w:tc>
          <w:tcPr>
            <w:tcW w:w="2461" w:type="dxa"/>
            <w:gridSpan w:val="2"/>
          </w:tcPr>
          <w:p w:rsidR="003C2E62" w:rsidRDefault="003C2E62" w:rsidP="0008617F">
            <w:r>
              <w:t>En viss fare (2)</w:t>
            </w:r>
          </w:p>
        </w:tc>
        <w:tc>
          <w:tcPr>
            <w:tcW w:w="2298" w:type="dxa"/>
            <w:gridSpan w:val="2"/>
          </w:tcPr>
          <w:p w:rsidR="003C2E62" w:rsidRDefault="003C2E62" w:rsidP="0008617F">
            <w:r>
              <w:t>Farlig (3)</w:t>
            </w:r>
          </w:p>
        </w:tc>
        <w:tc>
          <w:tcPr>
            <w:tcW w:w="2216" w:type="dxa"/>
            <w:gridSpan w:val="2"/>
          </w:tcPr>
          <w:p w:rsidR="003C2E62" w:rsidRDefault="003C2E62" w:rsidP="0008617F">
            <w:r>
              <w:t>Kritisk (4)</w:t>
            </w:r>
          </w:p>
        </w:tc>
        <w:tc>
          <w:tcPr>
            <w:tcW w:w="2039" w:type="dxa"/>
            <w:gridSpan w:val="3"/>
          </w:tcPr>
          <w:p w:rsidR="003C2E62" w:rsidRDefault="003C2E62" w:rsidP="0008617F">
            <w:r>
              <w:t>Katastrofal (5)</w:t>
            </w:r>
          </w:p>
        </w:tc>
      </w:tr>
    </w:tbl>
    <w:p w:rsidR="003C2E62" w:rsidRDefault="003C2E62" w:rsidP="003C2E62"/>
    <w:p w:rsidR="00E05A89" w:rsidRPr="00E05A89" w:rsidRDefault="003C2E62" w:rsidP="009F56A7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br w:type="column"/>
      </w:r>
      <w:r>
        <w:rPr>
          <w:noProof/>
        </w:rPr>
        <w:lastRenderedPageBreak/>
        <w:drawing>
          <wp:inline distT="0" distB="0" distL="0" distR="0" wp14:anchorId="1727190A" wp14:editId="2E45C9AE">
            <wp:extent cx="9084449" cy="4352925"/>
            <wp:effectExtent l="0" t="0" r="254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98580" cy="435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5A89" w:rsidRPr="00E05A89" w:rsidSect="00E67A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DC9"/>
    <w:multiLevelType w:val="hybridMultilevel"/>
    <w:tmpl w:val="C06453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F3"/>
    <w:rsid w:val="00007CC9"/>
    <w:rsid w:val="00031DF3"/>
    <w:rsid w:val="00072280"/>
    <w:rsid w:val="0009289F"/>
    <w:rsid w:val="000A56CF"/>
    <w:rsid w:val="0010270F"/>
    <w:rsid w:val="0011575A"/>
    <w:rsid w:val="00116AC7"/>
    <w:rsid w:val="001222EC"/>
    <w:rsid w:val="001652F1"/>
    <w:rsid w:val="001C4DD9"/>
    <w:rsid w:val="0024792A"/>
    <w:rsid w:val="00280F6F"/>
    <w:rsid w:val="00286C09"/>
    <w:rsid w:val="00295207"/>
    <w:rsid w:val="002A40D4"/>
    <w:rsid w:val="002A7812"/>
    <w:rsid w:val="002A7D48"/>
    <w:rsid w:val="00314067"/>
    <w:rsid w:val="00336321"/>
    <w:rsid w:val="00365B31"/>
    <w:rsid w:val="00384923"/>
    <w:rsid w:val="003B6606"/>
    <w:rsid w:val="003C2E62"/>
    <w:rsid w:val="00411586"/>
    <w:rsid w:val="004269DE"/>
    <w:rsid w:val="004344E7"/>
    <w:rsid w:val="0045094B"/>
    <w:rsid w:val="0048340F"/>
    <w:rsid w:val="004E1158"/>
    <w:rsid w:val="004F2297"/>
    <w:rsid w:val="00523873"/>
    <w:rsid w:val="0053553B"/>
    <w:rsid w:val="00537381"/>
    <w:rsid w:val="00537FBB"/>
    <w:rsid w:val="005476C4"/>
    <w:rsid w:val="005573D9"/>
    <w:rsid w:val="005860FE"/>
    <w:rsid w:val="005877F3"/>
    <w:rsid w:val="005B1C50"/>
    <w:rsid w:val="005E65ED"/>
    <w:rsid w:val="00605533"/>
    <w:rsid w:val="0063790A"/>
    <w:rsid w:val="00657C2E"/>
    <w:rsid w:val="0067325E"/>
    <w:rsid w:val="00674E0B"/>
    <w:rsid w:val="00684C69"/>
    <w:rsid w:val="0069313D"/>
    <w:rsid w:val="006B4886"/>
    <w:rsid w:val="006B54DC"/>
    <w:rsid w:val="006C26C3"/>
    <w:rsid w:val="006C4EB7"/>
    <w:rsid w:val="006D4E0C"/>
    <w:rsid w:val="00735A13"/>
    <w:rsid w:val="00742756"/>
    <w:rsid w:val="00747EB0"/>
    <w:rsid w:val="00754631"/>
    <w:rsid w:val="0075669C"/>
    <w:rsid w:val="007C1DBA"/>
    <w:rsid w:val="007D12BF"/>
    <w:rsid w:val="007F1B81"/>
    <w:rsid w:val="007F529B"/>
    <w:rsid w:val="007F6E66"/>
    <w:rsid w:val="008230BC"/>
    <w:rsid w:val="00830C0E"/>
    <w:rsid w:val="00842061"/>
    <w:rsid w:val="00843FDE"/>
    <w:rsid w:val="00865B1C"/>
    <w:rsid w:val="00866FEA"/>
    <w:rsid w:val="00870F6E"/>
    <w:rsid w:val="008B3179"/>
    <w:rsid w:val="008B79E9"/>
    <w:rsid w:val="008C0983"/>
    <w:rsid w:val="008E2252"/>
    <w:rsid w:val="008E29A4"/>
    <w:rsid w:val="00913905"/>
    <w:rsid w:val="00936E30"/>
    <w:rsid w:val="00944E10"/>
    <w:rsid w:val="00993CAA"/>
    <w:rsid w:val="009B4E8F"/>
    <w:rsid w:val="009C209B"/>
    <w:rsid w:val="009D6B0B"/>
    <w:rsid w:val="009F56A7"/>
    <w:rsid w:val="009F68AF"/>
    <w:rsid w:val="00A16AC7"/>
    <w:rsid w:val="00A17068"/>
    <w:rsid w:val="00A2301F"/>
    <w:rsid w:val="00A458D2"/>
    <w:rsid w:val="00A57788"/>
    <w:rsid w:val="00A67ADC"/>
    <w:rsid w:val="00A749BE"/>
    <w:rsid w:val="00A85BD6"/>
    <w:rsid w:val="00AE1932"/>
    <w:rsid w:val="00AE3A3D"/>
    <w:rsid w:val="00AE4EE9"/>
    <w:rsid w:val="00AF512C"/>
    <w:rsid w:val="00B361C2"/>
    <w:rsid w:val="00B65483"/>
    <w:rsid w:val="00B81BC6"/>
    <w:rsid w:val="00B95A3A"/>
    <w:rsid w:val="00BF1DD8"/>
    <w:rsid w:val="00C254D1"/>
    <w:rsid w:val="00C25C68"/>
    <w:rsid w:val="00C27170"/>
    <w:rsid w:val="00C27AE2"/>
    <w:rsid w:val="00C309C8"/>
    <w:rsid w:val="00C34916"/>
    <w:rsid w:val="00C354EC"/>
    <w:rsid w:val="00C41470"/>
    <w:rsid w:val="00C44E1F"/>
    <w:rsid w:val="00C53828"/>
    <w:rsid w:val="00C83B75"/>
    <w:rsid w:val="00CD5B9E"/>
    <w:rsid w:val="00CE59D9"/>
    <w:rsid w:val="00CF7780"/>
    <w:rsid w:val="00D039D5"/>
    <w:rsid w:val="00D061C4"/>
    <w:rsid w:val="00D44EF8"/>
    <w:rsid w:val="00D53BDD"/>
    <w:rsid w:val="00E05A89"/>
    <w:rsid w:val="00E07F23"/>
    <w:rsid w:val="00E25512"/>
    <w:rsid w:val="00E25DE5"/>
    <w:rsid w:val="00E432F7"/>
    <w:rsid w:val="00E574EE"/>
    <w:rsid w:val="00E67AF3"/>
    <w:rsid w:val="00E67FCE"/>
    <w:rsid w:val="00E765BC"/>
    <w:rsid w:val="00E967E1"/>
    <w:rsid w:val="00EA4610"/>
    <w:rsid w:val="00EB764C"/>
    <w:rsid w:val="00ED6632"/>
    <w:rsid w:val="00F0649F"/>
    <w:rsid w:val="00F07D14"/>
    <w:rsid w:val="00F471BD"/>
    <w:rsid w:val="00F75B6C"/>
    <w:rsid w:val="00F8361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E67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573D9"/>
    <w:pPr>
      <w:ind w:left="720"/>
      <w:contextualSpacing/>
    </w:pPr>
  </w:style>
  <w:style w:type="paragraph" w:styleId="Bobletekst">
    <w:name w:val="Balloon Text"/>
    <w:basedOn w:val="Normal"/>
    <w:link w:val="BobletekstTegn"/>
    <w:rsid w:val="003C2E6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C2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E67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573D9"/>
    <w:pPr>
      <w:ind w:left="720"/>
      <w:contextualSpacing/>
    </w:pPr>
  </w:style>
  <w:style w:type="paragraph" w:styleId="Bobletekst">
    <w:name w:val="Balloon Text"/>
    <w:basedOn w:val="Normal"/>
    <w:link w:val="BobletekstTegn"/>
    <w:rsid w:val="003C2E6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C2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0460D921D54D946B4CFD084BCAFC" ma:contentTypeVersion="10" ma:contentTypeDescription="Opprett et nytt dokument." ma:contentTypeScope="" ma:versionID="9b0697bd99d0994d89769ebb40231e5c">
  <xsd:schema xmlns:xsd="http://www.w3.org/2001/XMLSchema" xmlns:xs="http://www.w3.org/2001/XMLSchema" xmlns:p="http://schemas.microsoft.com/office/2006/metadata/properties" xmlns:ns2="2545e4f6-8768-4f55-84bf-253b831db831" xmlns:ns3="a7a7e21d-645d-4ce3-a7ab-4c2d870bed4e" targetNamespace="http://schemas.microsoft.com/office/2006/metadata/properties" ma:root="true" ma:fieldsID="52b79801ffdc1f02ee4cad53e2c37e80" ns2:_="" ns3:_="">
    <xsd:import namespace="2545e4f6-8768-4f55-84bf-253b831db831"/>
    <xsd:import namespace="a7a7e21d-645d-4ce3-a7ab-4c2d870b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5e4f6-8768-4f55-84bf-253b831d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e21d-645d-4ce3-a7ab-4c2d870be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8070FD-5AD9-4549-9760-ED2583A36A72}"/>
</file>

<file path=customXml/itemProps2.xml><?xml version="1.0" encoding="utf-8"?>
<ds:datastoreItem xmlns:ds="http://schemas.openxmlformats.org/officeDocument/2006/customXml" ds:itemID="{B2901A85-CC21-4806-9B01-08502F9A83D9}"/>
</file>

<file path=customXml/itemProps3.xml><?xml version="1.0" encoding="utf-8"?>
<ds:datastoreItem xmlns:ds="http://schemas.openxmlformats.org/officeDocument/2006/customXml" ds:itemID="{2F3BFD80-6F31-41EC-85DA-C758FFF532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561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Kari-Anne Røste</dc:creator>
  <cp:keywords/>
  <dc:description/>
  <cp:lastModifiedBy>Kari-Anne Røste</cp:lastModifiedBy>
  <cp:revision>4</cp:revision>
  <dcterms:created xsi:type="dcterms:W3CDTF">2013-12-17T12:15:00Z</dcterms:created>
  <dcterms:modified xsi:type="dcterms:W3CDTF">2014-10-23T06:57:00Z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0x01010029400460D921D54D946B4CFD084BCAFC</vt:lpwstr>
  </property>
</Properties>
</file>